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14) раздел 1 приложения 21 «Программа государственных внутренних заимствований Чукотского автономного округа на 2025 год и на плановый период 2026 и 2027 годов» изложить в следующей редакции: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868"/>
        <w:gridCol w:w="2178"/>
        <w:gridCol w:w="1646"/>
        <w:gridCol w:w="2048"/>
        <w:gridCol w:w="1840"/>
        <w:gridCol w:w="2123"/>
      </w:tblGrid>
      <w:tr>
        <w:trPr>
          <w:trHeight w:val="405" w:hRule="atLeast"/>
        </w:trPr>
        <w:tc>
          <w:tcPr>
            <w:tcW w:w="15703" w:type="dxa"/>
            <w:gridSpan w:val="6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1. Государственные внутренние заимствования Чукотского автономного округа на 2025 год </w:t>
            </w:r>
          </w:p>
        </w:tc>
      </w:tr>
      <w:tr>
        <w:trPr>
          <w:trHeight w:val="57" w:hRule="exact"/>
        </w:trPr>
        <w:tc>
          <w:tcPr>
            <w:tcW w:w="586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1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586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17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4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04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12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86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Объем заимствований на 1 января 2025 года</w:t>
            </w:r>
          </w:p>
        </w:tc>
        <w:tc>
          <w:tcPr>
            <w:tcW w:w="553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2025 год</w:t>
            </w:r>
          </w:p>
        </w:tc>
        <w:tc>
          <w:tcPr>
            <w:tcW w:w="212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Планируемый объем заимствований на 1 января 2026 года</w:t>
            </w:r>
          </w:p>
        </w:tc>
      </w:tr>
      <w:tr>
        <w:trPr>
          <w:trHeight w:val="20" w:hRule="atLeast"/>
        </w:trPr>
        <w:tc>
          <w:tcPr>
            <w:tcW w:w="586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Привлечение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Погашение</w:t>
            </w:r>
          </w:p>
        </w:tc>
        <w:tc>
          <w:tcPr>
            <w:tcW w:w="21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586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217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20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84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21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5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6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20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21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6</w:t>
            </w:r>
          </w:p>
        </w:tc>
      </w:tr>
      <w:tr>
        <w:trPr>
          <w:trHeight w:val="20" w:hRule="atLeast"/>
        </w:trPr>
        <w:tc>
          <w:tcPr>
            <w:tcW w:w="58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2178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 xml:space="preserve">7 758 028,5 </w:t>
            </w:r>
          </w:p>
        </w:tc>
        <w:tc>
          <w:tcPr>
            <w:tcW w:w="1646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 xml:space="preserve">2 597 093,0 </w:t>
            </w:r>
          </w:p>
        </w:tc>
        <w:tc>
          <w:tcPr>
            <w:tcW w:w="2048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 xml:space="preserve">294 852,0 </w:t>
            </w:r>
          </w:p>
        </w:tc>
        <w:tc>
          <w:tcPr>
            <w:tcW w:w="1840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 xml:space="preserve">2 570 738,9 </w:t>
            </w:r>
          </w:p>
        </w:tc>
        <w:tc>
          <w:tcPr>
            <w:tcW w:w="2123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 xml:space="preserve">7 784 382,6 </w:t>
            </w:r>
          </w:p>
        </w:tc>
      </w:tr>
      <w:tr>
        <w:trPr>
          <w:trHeight w:val="20" w:hRule="atLeast"/>
        </w:trPr>
        <w:tc>
          <w:tcPr>
            <w:tcW w:w="58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Государственные ценные бумаги</w:t>
            </w:r>
          </w:p>
        </w:tc>
        <w:tc>
          <w:tcPr>
            <w:tcW w:w="21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- </w:t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31.10.2026</w:t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- </w:t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140 000,0 </w:t>
            </w:r>
          </w:p>
        </w:tc>
      </w:tr>
      <w:tr>
        <w:trPr>
          <w:trHeight w:val="20" w:hRule="atLeast"/>
        </w:trPr>
        <w:tc>
          <w:tcPr>
            <w:tcW w:w="58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21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7 758 028,5 </w:t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2 457 093,0 </w:t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248 526,0 </w:t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2 570 738,9 </w:t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7 644 382,6 </w:t>
            </w:r>
          </w:p>
        </w:tc>
      </w:tr>
      <w:tr>
        <w:trPr>
          <w:trHeight w:val="20" w:hRule="atLeast"/>
        </w:trPr>
        <w:tc>
          <w:tcPr>
            <w:tcW w:w="58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21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 </w:t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 </w:t>
            </w:r>
          </w:p>
        </w:tc>
      </w:tr>
      <w:tr>
        <w:trPr>
          <w:trHeight w:val="20" w:hRule="atLeast"/>
        </w:trPr>
        <w:tc>
          <w:tcPr>
            <w:tcW w:w="58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21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7 310 539,0 </w:t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- </w:t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30.11.2029</w:t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435 521,5 </w:t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6 875 017,5 </w:t>
            </w:r>
          </w:p>
        </w:tc>
      </w:tr>
      <w:tr>
        <w:trPr>
          <w:trHeight w:val="20" w:hRule="atLeast"/>
        </w:trPr>
        <w:tc>
          <w:tcPr>
            <w:tcW w:w="58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21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333 461,5 </w:t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- </w:t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20.09.2039</w:t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19 072,5 </w:t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314 389,0 </w:t>
            </w:r>
          </w:p>
        </w:tc>
      </w:tr>
      <w:tr>
        <w:trPr>
          <w:trHeight w:val="20" w:hRule="atLeast"/>
        </w:trPr>
        <w:tc>
          <w:tcPr>
            <w:tcW w:w="58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специальные казначейские кредиты</w:t>
            </w:r>
          </w:p>
        </w:tc>
        <w:tc>
          <w:tcPr>
            <w:tcW w:w="21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114 028,0 </w:t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- </w:t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25.10.2038</w:t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8 144,9 </w:t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105 883,1 </w:t>
            </w:r>
          </w:p>
        </w:tc>
      </w:tr>
      <w:tr>
        <w:trPr>
          <w:trHeight w:val="20" w:hRule="atLeast"/>
        </w:trPr>
        <w:tc>
          <w:tcPr>
            <w:tcW w:w="58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на пополнение остатка средств на едином счете бюджета</w:t>
            </w:r>
          </w:p>
        </w:tc>
        <w:tc>
          <w:tcPr>
            <w:tcW w:w="21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- </w:t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2 108 000,0 </w:t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20.12.2025</w:t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2 108 000,0 </w:t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- </w:t>
            </w:r>
          </w:p>
        </w:tc>
      </w:tr>
      <w:tr>
        <w:trPr>
          <w:trHeight w:val="20" w:hRule="atLeast"/>
        </w:trPr>
        <w:tc>
          <w:tcPr>
            <w:tcW w:w="58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казначейские инфраструктурные кредиты</w:t>
            </w:r>
          </w:p>
        </w:tc>
        <w:tc>
          <w:tcPr>
            <w:tcW w:w="21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- </w:t>
            </w:r>
          </w:p>
        </w:tc>
        <w:tc>
          <w:tcPr>
            <w:tcW w:w="164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349 093,0 </w:t>
            </w:r>
          </w:p>
        </w:tc>
        <w:tc>
          <w:tcPr>
            <w:tcW w:w="2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31.12.2045</w:t>
            </w:r>
          </w:p>
        </w:tc>
        <w:tc>
          <w:tcPr>
            <w:tcW w:w="184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0,0 </w:t>
            </w:r>
          </w:p>
        </w:tc>
        <w:tc>
          <w:tcPr>
            <w:tcW w:w="212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 xml:space="preserve">349 093,0 </w:t>
            </w:r>
          </w:p>
        </w:tc>
      </w:tr>
    </w:tbl>
    <w:p>
      <w:pPr>
        <w:pStyle w:val="Normal"/>
        <w:ind w:firstLine="708"/>
        <w:jc w:val="en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»;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headerReference w:type="default" r:id="rId2"/>
          <w:type w:val="nextPage"/>
          <w:pgSz w:orient="landscape" w:w="16838" w:h="11906"/>
          <w:pgMar w:left="567" w:right="567" w:gutter="0" w:header="709" w:top="1268" w:footer="0" w:bottom="567"/>
          <w:pgNumType w:start="808" w:fmt="decimal"/>
          <w:formProt w:val="false"/>
          <w:textDirection w:val="lrTb"/>
        </w:sect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15) раздел 1.1 «Перечень подлежащих предоставлению государственных гарантий Чукотского автономного округа в 2025 году» приложения 22 «Программа государственных гарантий Чукотского автономного округа на 2025 год и на плановый период 2026 и 2027 годов» изложить в следующей редакции:</w:t>
      </w:r>
    </w:p>
    <w:p>
      <w:pPr>
        <w:pStyle w:val="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cs="Times New Roman" w:ascii="Times New Roman" w:hAnsi="Times New Roman"/>
          <w:b/>
          <w:bCs/>
          <w:sz w:val="28"/>
          <w:szCs w:val="28"/>
        </w:rPr>
        <w:t>1.1. Перечень подлежащих предоставлению государственных гарантий Чукотского автономного округа в 2025 году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13"/>
        <w:gridCol w:w="2569"/>
        <w:gridCol w:w="1702"/>
        <w:gridCol w:w="3152"/>
        <w:gridCol w:w="2130"/>
        <w:gridCol w:w="2126"/>
        <w:gridCol w:w="3511"/>
      </w:tblGrid>
      <w:tr>
        <w:trPr>
          <w:trHeight w:val="20" w:hRule="atLeast"/>
        </w:trPr>
        <w:tc>
          <w:tcPr>
            <w:tcW w:w="51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п/п</w:t>
            </w:r>
          </w:p>
        </w:tc>
        <w:tc>
          <w:tcPr>
            <w:tcW w:w="2569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Цель гарантирования</w:t>
            </w:r>
          </w:p>
        </w:tc>
        <w:tc>
          <w:tcPr>
            <w:tcW w:w="1702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Сумма гарантирования</w:t>
            </w:r>
          </w:p>
        </w:tc>
        <w:tc>
          <w:tcPr>
            <w:tcW w:w="3152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Категория и (или) наименование принципала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Наличие права регрессного требования</w:t>
            </w:r>
          </w:p>
        </w:tc>
        <w:tc>
          <w:tcPr>
            <w:tcW w:w="2126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351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>
      <w:pPr>
        <w:pStyle w:val="Normal"/>
        <w:spacing w:lineRule="auto" w:line="240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10"/>
        <w:gridCol w:w="2572"/>
        <w:gridCol w:w="1701"/>
        <w:gridCol w:w="3153"/>
        <w:gridCol w:w="2130"/>
        <w:gridCol w:w="2126"/>
        <w:gridCol w:w="3511"/>
      </w:tblGrid>
      <w:tr>
        <w:trPr>
          <w:tblHeader w:val="true"/>
          <w:trHeight w:val="20" w:hRule="atLeast"/>
        </w:trPr>
        <w:tc>
          <w:tcPr>
            <w:tcW w:w="5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257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21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35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7</w:t>
            </w:r>
          </w:p>
        </w:tc>
      </w:tr>
      <w:tr>
        <w:trPr>
          <w:trHeight w:val="70" w:hRule="atLeast"/>
        </w:trPr>
        <w:tc>
          <w:tcPr>
            <w:tcW w:w="510" w:type="dxa"/>
            <w:vMerge w:val="restart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1.</w:t>
            </w:r>
          </w:p>
        </w:tc>
        <w:tc>
          <w:tcPr>
            <w:tcW w:w="2572" w:type="dxa"/>
            <w:vMerge w:val="restart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28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Для обеспечения исполнения обязательств по кредитам, привлекаемым юридическими лицами на:</w:t>
              <w:br/>
              <w:br/>
              <w:t>1.1. Приобретение и доставку топлива (нефтепродуктов);</w:t>
              <w:br/>
              <w:br/>
              <w:t xml:space="preserve">1.2. Приобретение и доставку продовольственных товаров (за исключением подакцизных товаров) </w:t>
              <w:br/>
              <w:br/>
              <w:t>1.3. Подготовку флота к навигации</w:t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br/>
              <w:br/>
              <w:br/>
              <w:br/>
              <w:br/>
              <w:br/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14 900 000,00</w:t>
              <w:br/>
              <w:br/>
              <w:br/>
              <w:br/>
              <w:t xml:space="preserve">500 000,0 </w:t>
              <w:br/>
              <w:t xml:space="preserve">200 000,0 </w:t>
              <w:br/>
              <w:t>350 000,0</w:t>
              <w:br/>
              <w:t xml:space="preserve">39 000,0 </w:t>
              <w:br/>
              <w:br/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250 000,0</w:t>
            </w:r>
          </w:p>
        </w:tc>
        <w:tc>
          <w:tcPr>
            <w:tcW w:w="3153" w:type="dxa"/>
            <w:vMerge w:val="restart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Юридические лица, зарегистрированные и осуществляющие свою деятельность на территории Чукотского автономного округа:</w:t>
              <w:br/>
              <w:br/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АО "Чукотснаб"</w:t>
              <w:br/>
              <w:br/>
              <w:br/>
              <w:t xml:space="preserve"> </w:t>
              <w:br/>
              <w:t>ООО "Чукотоптторг"</w:t>
              <w:br/>
              <w:t>ООО «Новомариинский ТПК»</w:t>
              <w:br/>
              <w:t>ООО "Берингов Пролив"</w:t>
              <w:br/>
              <w:t>ООО "ПК "Полярный"</w:t>
              <w:br/>
              <w:t xml:space="preserve"> </w:t>
              <w:br/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АО "Анадырьморпорт" 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Есть, за исключением:</w:t>
              <w:br/>
              <w:t>1. Хозяйственного общества, 100 процентов акций (долей) которого принадлежит Чукотскому автономному округу;</w:t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Есть, за исключением:</w:t>
              <w:br/>
              <w:t>1. Хозяйственного общества, 100 процентов акций (долей) которого принадлежит Чукотскому автономному округу;</w:t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351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1. Государственная гарантия Чукотского автономного округа предоставляется в обеспечение исполнения обязательств принципала по возврату суммы кредита, процентов в объеме до 100 процентов названного обязательства;</w:t>
            </w:r>
          </w:p>
        </w:tc>
      </w:tr>
      <w:tr>
        <w:trPr>
          <w:trHeight w:val="20" w:hRule="atLeast"/>
        </w:trPr>
        <w:tc>
          <w:tcPr>
            <w:tcW w:w="51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57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701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15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3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>
        <w:trPr>
          <w:trHeight w:val="20" w:hRule="atLeast"/>
        </w:trPr>
        <w:tc>
          <w:tcPr>
            <w:tcW w:w="51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57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701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15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3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иных платежей;</w:t>
            </w:r>
          </w:p>
        </w:tc>
      </w:tr>
      <w:tr>
        <w:trPr>
          <w:trHeight w:val="20" w:hRule="atLeast"/>
        </w:trPr>
        <w:tc>
          <w:tcPr>
            <w:tcW w:w="51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57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701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15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3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>
        <w:trPr>
          <w:trHeight w:val="20" w:hRule="atLeast"/>
        </w:trPr>
        <w:tc>
          <w:tcPr>
            <w:tcW w:w="510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2.</w:t>
            </w:r>
          </w:p>
        </w:tc>
        <w:tc>
          <w:tcPr>
            <w:tcW w:w="257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Для обеспечения обязательств по договору о предоставлении субсидии из федерального бюджета российским авиакомпаниям 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1701" w:type="dxa"/>
            <w:vMerge w:val="restart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170 910,0</w:t>
            </w:r>
          </w:p>
        </w:tc>
        <w:tc>
          <w:tcPr>
            <w:tcW w:w="3153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АО "ЧукотАВИА"</w:t>
            </w:r>
          </w:p>
        </w:tc>
        <w:tc>
          <w:tcPr>
            <w:tcW w:w="213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1. Государственная гарантия Чукотского автономного округа предоставляется в обеспечение договора о предоставлении субсидии на приобретение воздушного судна по договору лизинга , согласно Постановлению Правительства Российской Федерации от 30 декабря 2011 года № 1212 «Об утверждении Правил 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региональных и местных воздушных перевозок»;</w:t>
            </w:r>
          </w:p>
        </w:tc>
      </w:tr>
      <w:tr>
        <w:trPr>
          <w:trHeight w:val="20" w:hRule="atLeast"/>
        </w:trPr>
        <w:tc>
          <w:tcPr>
            <w:tcW w:w="51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57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701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15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3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>
        <w:trPr>
          <w:trHeight w:val="20" w:hRule="atLeast"/>
        </w:trPr>
        <w:tc>
          <w:tcPr>
            <w:tcW w:w="51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57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701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15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3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>
        <w:trPr>
          <w:trHeight w:val="20" w:hRule="atLeast"/>
        </w:trPr>
        <w:tc>
          <w:tcPr>
            <w:tcW w:w="51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572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701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153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30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vMerge w:val="continue"/>
            <w:tcBorders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>
        <w:trPr>
          <w:trHeight w:val="20" w:hRule="atLeast"/>
        </w:trPr>
        <w:tc>
          <w:tcPr>
            <w:tcW w:w="3082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ИТОГО</w:t>
            </w:r>
          </w:p>
        </w:tc>
        <w:tc>
          <w:tcPr>
            <w:tcW w:w="1701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16 409 910,0</w:t>
            </w:r>
          </w:p>
        </w:tc>
        <w:tc>
          <w:tcPr>
            <w:tcW w:w="315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213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21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  <w:tc>
          <w:tcPr>
            <w:tcW w:w="351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х</w:t>
            </w:r>
          </w:p>
        </w:tc>
      </w:tr>
      <w:tr>
        <w:trPr>
          <w:trHeight w:val="20" w:hRule="atLeast"/>
        </w:trPr>
        <w:tc>
          <w:tcPr>
            <w:tcW w:w="3082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15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3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  <w:tr>
        <w:trPr>
          <w:trHeight w:val="20" w:hRule="exact"/>
        </w:trPr>
        <w:tc>
          <w:tcPr>
            <w:tcW w:w="51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57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70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15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3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21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351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</w:tr>
    </w:tbl>
    <w:p>
      <w:pPr>
        <w:pStyle w:val="Normal"/>
        <w:spacing w:before="0" w:after="1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headerReference w:type="default" r:id="rId3"/>
      <w:headerReference w:type="first" r:id="rId4"/>
      <w:type w:val="nextPage"/>
      <w:pgSz w:orient="landscape" w:w="16838" w:h="11906"/>
      <w:pgMar w:left="567" w:right="567" w:gutter="0" w:header="709" w:top="766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libri Light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808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008441520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810</w:t>
        </w:r>
        <w:r>
          <w:rPr>
            <w:rFonts w:cs="Times New Roman" w:ascii="Times New Roman" w:hAnsi="Times New Roman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9227c7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9227c7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9227c7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9227c7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9227c7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9227c7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9227c7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9227c7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9227c7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9227c7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9227c7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9227c7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9227c7"/>
    <w:rPr>
      <w:rFonts w:eastAsia="" w:cs="" w:cstheme="majorBidi" w:eastAsiaTheme="majorEastAsia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9227c7"/>
    <w:rPr>
      <w:rFonts w:eastAsia="" w:cs="" w:cstheme="majorBidi" w:eastAsiaTheme="majorEastAsia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9227c7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9227c7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9227c7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9227c7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9227c7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9227c7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9227c7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9227c7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9227c7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9227c7"/>
    <w:rPr>
      <w:b/>
      <w:bCs/>
      <w:smallCaps/>
      <w:color w:themeColor="accent1" w:themeShade="bf" w:val="2F5496"/>
      <w:spacing w:val="5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f53cc5"/>
    <w:rPr/>
  </w:style>
  <w:style w:type="character" w:styleId="Style9" w:customStyle="1">
    <w:name w:val="Нижний колонтитул Знак"/>
    <w:basedOn w:val="DefaultParagraphFont"/>
    <w:uiPriority w:val="99"/>
    <w:qFormat/>
    <w:rsid w:val="00f53cc5"/>
    <w:rPr/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Style5"/>
    <w:uiPriority w:val="10"/>
    <w:qFormat/>
    <w:rsid w:val="009227c7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9227c7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9227c7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9227c7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9227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2F549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rsid w:val="00f53cc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rsid w:val="00f53cc5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95A27-0AA1-4BF0-AD95-0214D46B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Application>LibreOffice/24.8.3.2$Linux_X86_64 LibreOffice_project/480$Build-2</Application>
  <AppVersion>15.0000</AppVersion>
  <Pages>3</Pages>
  <Words>666</Words>
  <Characters>4646</Characters>
  <CharactersWithSpaces>5270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2025-10-26T05:56:00Z</dcterms:created>
  <dc:creator>Пушаев Джангр Петрович</dc:creator>
  <dc:description/>
  <dc:language>ru-RU</dc:language>
  <cp:lastModifiedBy/>
  <cp:lastPrinted>2025-11-17T12:46:52Z</cp:lastPrinted>
  <dcterms:modified xsi:type="dcterms:W3CDTF">2025-11-17T16:13:50Z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